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49" w:rsidRPr="00224A49" w:rsidRDefault="00D90418" w:rsidP="00224A4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4A49">
        <w:rPr>
          <w:rFonts w:ascii="Arial" w:hAnsi="Arial" w:cs="Arial"/>
          <w:b/>
          <w:sz w:val="24"/>
          <w:szCs w:val="24"/>
        </w:rPr>
        <w:t>Status of Schemes in the Approved N</w:t>
      </w:r>
      <w:r>
        <w:rPr>
          <w:rFonts w:ascii="Arial" w:hAnsi="Arial" w:cs="Arial"/>
          <w:b/>
          <w:sz w:val="24"/>
          <w:szCs w:val="24"/>
        </w:rPr>
        <w:t xml:space="preserve">ational </w:t>
      </w:r>
      <w:r w:rsidRPr="00224A4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roductivity </w:t>
      </w:r>
      <w:r w:rsidRPr="00224A4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nvestment </w:t>
      </w:r>
      <w:r w:rsidRPr="00224A49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und</w:t>
      </w:r>
      <w:r w:rsidRPr="00224A49">
        <w:rPr>
          <w:rFonts w:ascii="Arial" w:hAnsi="Arial" w:cs="Arial"/>
          <w:b/>
          <w:sz w:val="24"/>
          <w:szCs w:val="24"/>
        </w:rPr>
        <w:t xml:space="preserve"> Programme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1692"/>
        <w:gridCol w:w="867"/>
        <w:gridCol w:w="989"/>
        <w:gridCol w:w="1366"/>
        <w:gridCol w:w="11247"/>
      </w:tblGrid>
      <w:tr w:rsidR="002277CC" w:rsidTr="002532CC">
        <w:tc>
          <w:tcPr>
            <w:tcW w:w="1692" w:type="dxa"/>
            <w:shd w:val="clear" w:color="auto" w:fill="DEEAF6" w:themeFill="accent1" w:themeFillTint="33"/>
            <w:vAlign w:val="center"/>
          </w:tcPr>
          <w:p w:rsidR="00224A49" w:rsidRPr="00D740B8" w:rsidRDefault="00D90418" w:rsidP="00224A49">
            <w:pPr>
              <w:jc w:val="center"/>
              <w:rPr>
                <w:rFonts w:cs="Arial"/>
                <w:b/>
              </w:rPr>
            </w:pPr>
            <w:r w:rsidRPr="00D740B8">
              <w:rPr>
                <w:rFonts w:cs="Arial"/>
                <w:b/>
              </w:rPr>
              <w:t>Project Name</w:t>
            </w:r>
          </w:p>
        </w:tc>
        <w:tc>
          <w:tcPr>
            <w:tcW w:w="867" w:type="dxa"/>
            <w:shd w:val="clear" w:color="auto" w:fill="DEEAF6" w:themeFill="accent1" w:themeFillTint="33"/>
            <w:vAlign w:val="center"/>
          </w:tcPr>
          <w:p w:rsidR="00224A49" w:rsidRDefault="00D90418" w:rsidP="00224A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Project Budget</w:t>
            </w:r>
          </w:p>
          <w:p w:rsidR="00224A49" w:rsidRPr="00D740B8" w:rsidRDefault="00D90418" w:rsidP="00224A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£m</w:t>
            </w:r>
          </w:p>
        </w:tc>
        <w:tc>
          <w:tcPr>
            <w:tcW w:w="989" w:type="dxa"/>
            <w:shd w:val="clear" w:color="auto" w:fill="DEEAF6" w:themeFill="accent1" w:themeFillTint="33"/>
            <w:vAlign w:val="center"/>
          </w:tcPr>
          <w:p w:rsidR="00224A49" w:rsidRDefault="00D90418" w:rsidP="00224A49">
            <w:pPr>
              <w:jc w:val="center"/>
              <w:rPr>
                <w:rFonts w:cs="Arial"/>
                <w:b/>
              </w:rPr>
            </w:pPr>
            <w:r w:rsidRPr="00D740B8">
              <w:rPr>
                <w:rFonts w:cs="Arial"/>
                <w:b/>
              </w:rPr>
              <w:t>Total Forecast Spend</w:t>
            </w:r>
          </w:p>
          <w:p w:rsidR="00224A49" w:rsidRPr="00D740B8" w:rsidRDefault="00D90418" w:rsidP="00224A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£m</w:t>
            </w: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:rsidR="00224A49" w:rsidRDefault="00D90418" w:rsidP="00224A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Available to Re-purpose</w:t>
            </w:r>
          </w:p>
          <w:p w:rsidR="00224A49" w:rsidRPr="00D740B8" w:rsidRDefault="00D90418" w:rsidP="00224A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£m</w:t>
            </w:r>
          </w:p>
        </w:tc>
        <w:tc>
          <w:tcPr>
            <w:tcW w:w="11247" w:type="dxa"/>
            <w:shd w:val="clear" w:color="auto" w:fill="DEEAF6" w:themeFill="accent1" w:themeFillTint="33"/>
            <w:vAlign w:val="center"/>
          </w:tcPr>
          <w:p w:rsidR="00224A49" w:rsidRPr="00D740B8" w:rsidRDefault="00D90418" w:rsidP="00224A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Status</w:t>
            </w:r>
          </w:p>
        </w:tc>
      </w:tr>
      <w:tr w:rsidR="002277CC" w:rsidTr="002532CC">
        <w:tc>
          <w:tcPr>
            <w:tcW w:w="1692" w:type="dxa"/>
            <w:vAlign w:val="center"/>
          </w:tcPr>
          <w:p w:rsidR="00224A49" w:rsidRPr="000E4FE9" w:rsidRDefault="00D90418" w:rsidP="00F73267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Design of M65 Growth Corridor Improvements J8, J9, J10</w:t>
            </w:r>
          </w:p>
        </w:tc>
        <w:tc>
          <w:tcPr>
            <w:tcW w:w="867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£0.126</w:t>
            </w:r>
          </w:p>
        </w:tc>
        <w:tc>
          <w:tcPr>
            <w:tcW w:w="989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£0.126</w:t>
            </w:r>
          </w:p>
        </w:tc>
        <w:tc>
          <w:tcPr>
            <w:tcW w:w="1366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£0.000</w:t>
            </w:r>
          </w:p>
        </w:tc>
        <w:tc>
          <w:tcPr>
            <w:tcW w:w="11247" w:type="dxa"/>
          </w:tcPr>
          <w:p w:rsidR="00224A49" w:rsidRPr="000E4FE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Designs are progressing to provide additional capacity in support of new development and</w:t>
            </w:r>
            <w:r>
              <w:rPr>
                <w:rFonts w:cstheme="minorHAnsi"/>
              </w:rPr>
              <w:t xml:space="preserve"> the </w:t>
            </w:r>
            <w:r w:rsidRPr="000E4FE9">
              <w:rPr>
                <w:rFonts w:cstheme="minorHAnsi"/>
              </w:rPr>
              <w:t>allocation is required in full. Therefore no proposed change to the project.</w:t>
            </w:r>
          </w:p>
        </w:tc>
      </w:tr>
      <w:tr w:rsidR="002277CC" w:rsidTr="002532CC">
        <w:tc>
          <w:tcPr>
            <w:tcW w:w="1692" w:type="dxa"/>
            <w:vAlign w:val="center"/>
          </w:tcPr>
          <w:p w:rsidR="00224A49" w:rsidRPr="000E4FE9" w:rsidRDefault="00D90418" w:rsidP="00F73267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M65 Growth and Housing Fund Bid</w:t>
            </w:r>
          </w:p>
        </w:tc>
        <w:tc>
          <w:tcPr>
            <w:tcW w:w="867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£0.219</w:t>
            </w:r>
          </w:p>
        </w:tc>
        <w:tc>
          <w:tcPr>
            <w:tcW w:w="989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</w:t>
            </w:r>
          </w:p>
        </w:tc>
        <w:tc>
          <w:tcPr>
            <w:tcW w:w="1366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£0.219</w:t>
            </w:r>
          </w:p>
        </w:tc>
        <w:tc>
          <w:tcPr>
            <w:tcW w:w="11247" w:type="dxa"/>
          </w:tcPr>
          <w:p w:rsidR="00224A49" w:rsidRPr="000E4FE9" w:rsidRDefault="00D90418" w:rsidP="00F73267">
            <w:pPr>
              <w:rPr>
                <w:rFonts w:cstheme="minorHAnsi"/>
              </w:rPr>
            </w:pPr>
            <w:r>
              <w:rPr>
                <w:rFonts w:cstheme="minorHAnsi"/>
              </w:rPr>
              <w:t>The n</w:t>
            </w:r>
            <w:r w:rsidRPr="000E4FE9">
              <w:rPr>
                <w:rFonts w:cstheme="minorHAnsi"/>
              </w:rPr>
              <w:t xml:space="preserve">ational </w:t>
            </w:r>
            <w:r w:rsidRPr="000E4FE9">
              <w:rPr>
                <w:rFonts w:cstheme="minorHAnsi"/>
              </w:rPr>
              <w:t>Growth and Housing Fund has been expended and therefore Highways England are unable to fund the bid thus releasing this approved county council contribution</w:t>
            </w:r>
          </w:p>
        </w:tc>
      </w:tr>
      <w:tr w:rsidR="002277CC" w:rsidTr="002532CC">
        <w:tc>
          <w:tcPr>
            <w:tcW w:w="1692" w:type="dxa"/>
            <w:vAlign w:val="center"/>
          </w:tcPr>
          <w:p w:rsidR="00224A49" w:rsidRPr="000E4FE9" w:rsidRDefault="00D90418" w:rsidP="00F73267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A583 Riversway Corridor Preston</w:t>
            </w:r>
          </w:p>
        </w:tc>
        <w:tc>
          <w:tcPr>
            <w:tcW w:w="867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91232E">
              <w:rPr>
                <w:rFonts w:cstheme="minorHAnsi"/>
              </w:rPr>
              <w:t>£0.950</w:t>
            </w:r>
          </w:p>
        </w:tc>
        <w:tc>
          <w:tcPr>
            <w:tcW w:w="989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£0.950</w:t>
            </w:r>
          </w:p>
        </w:tc>
        <w:tc>
          <w:tcPr>
            <w:tcW w:w="1366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£0.000</w:t>
            </w:r>
          </w:p>
        </w:tc>
        <w:tc>
          <w:tcPr>
            <w:tcW w:w="11247" w:type="dxa"/>
          </w:tcPr>
          <w:p w:rsidR="00224A49" w:rsidRPr="000E4FE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A scheme has been designed comprisin</w:t>
            </w:r>
            <w:r>
              <w:rPr>
                <w:rFonts w:cstheme="minorHAnsi"/>
              </w:rPr>
              <w:t xml:space="preserve">g </w:t>
            </w:r>
            <w:r>
              <w:rPr>
                <w:rFonts w:cstheme="minorHAnsi"/>
              </w:rPr>
              <w:t>physical works and upgrades to</w:t>
            </w:r>
            <w:r w:rsidRPr="000E4FE9">
              <w:rPr>
                <w:rFonts w:cstheme="minorHAnsi"/>
              </w:rPr>
              <w:t xml:space="preserve"> technology to maximise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the efficiency of the existing network capacity and unlock investor potential. The allocation is required in full. Therefore there is no proposed change to the project.</w:t>
            </w:r>
          </w:p>
        </w:tc>
      </w:tr>
      <w:tr w:rsidR="002277CC" w:rsidTr="002532CC">
        <w:tc>
          <w:tcPr>
            <w:tcW w:w="1692" w:type="dxa"/>
            <w:vAlign w:val="center"/>
          </w:tcPr>
          <w:p w:rsidR="00224A49" w:rsidRPr="000E4FE9" w:rsidRDefault="00D90418" w:rsidP="00F73267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M6 J31 Improvements Including A5</w:t>
            </w:r>
            <w:r w:rsidRPr="000E4FE9">
              <w:rPr>
                <w:rFonts w:cstheme="minorHAnsi"/>
              </w:rPr>
              <w:t>9/A677 Swallow Hotel Junction Improvements Samlesbury</w:t>
            </w:r>
          </w:p>
        </w:tc>
        <w:tc>
          <w:tcPr>
            <w:tcW w:w="867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£1.000</w:t>
            </w:r>
          </w:p>
        </w:tc>
        <w:tc>
          <w:tcPr>
            <w:tcW w:w="989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£0.900</w:t>
            </w:r>
          </w:p>
        </w:tc>
        <w:tc>
          <w:tcPr>
            <w:tcW w:w="1366" w:type="dxa"/>
            <w:vAlign w:val="center"/>
          </w:tcPr>
          <w:p w:rsidR="00224A49" w:rsidRPr="005D7298" w:rsidRDefault="00D90418" w:rsidP="00224A49">
            <w:pPr>
              <w:jc w:val="center"/>
              <w:rPr>
                <w:rFonts w:cstheme="minorHAnsi"/>
              </w:rPr>
            </w:pPr>
            <w:r w:rsidRPr="0061033D">
              <w:rPr>
                <w:rFonts w:cstheme="minorHAnsi"/>
              </w:rPr>
              <w:t>£0.100</w:t>
            </w:r>
          </w:p>
        </w:tc>
        <w:tc>
          <w:tcPr>
            <w:tcW w:w="11247" w:type="dxa"/>
          </w:tcPr>
          <w:p w:rsidR="00224A49" w:rsidRPr="00A17A10" w:rsidRDefault="00D90418" w:rsidP="00F73267">
            <w:pPr>
              <w:rPr>
                <w:rFonts w:cstheme="minorHAnsi"/>
                <w:b/>
              </w:rPr>
            </w:pPr>
            <w:r w:rsidRPr="00A17A10">
              <w:rPr>
                <w:rFonts w:cstheme="minorHAnsi"/>
                <w:b/>
              </w:rPr>
              <w:t xml:space="preserve">J31 </w:t>
            </w:r>
          </w:p>
          <w:p w:rsidR="00224A49" w:rsidRPr="000E4FE9" w:rsidRDefault="00D90418" w:rsidP="00F73267">
            <w:pPr>
              <w:rPr>
                <w:rFonts w:cstheme="minorHAnsi"/>
              </w:rPr>
            </w:pPr>
            <w:r>
              <w:rPr>
                <w:rFonts w:cstheme="minorHAnsi"/>
              </w:rPr>
              <w:t>The Warton to Salmesbury Route M</w:t>
            </w:r>
            <w:r w:rsidRPr="000E4FE9">
              <w:rPr>
                <w:rFonts w:cstheme="minorHAnsi"/>
              </w:rPr>
              <w:t xml:space="preserve">anagement Strategy recommends improvements at this junction to </w:t>
            </w:r>
            <w:r>
              <w:rPr>
                <w:rFonts w:cstheme="minorHAnsi"/>
              </w:rPr>
              <w:t>m</w:t>
            </w:r>
            <w:r w:rsidRPr="000E4FE9">
              <w:rPr>
                <w:rFonts w:cstheme="minorHAnsi"/>
              </w:rPr>
              <w:t>itigate the impacts that ongoing development of the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Enterprise Zone are likely to generate. A MOVA validation process is proposed in the short term to ensure that the signalised junction works as efficiently as possible whilst further investigations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are undertaken to develop longer term proposals.</w:t>
            </w:r>
          </w:p>
          <w:p w:rsidR="00224A49" w:rsidRPr="00A17A10" w:rsidRDefault="00D90418" w:rsidP="00F73267">
            <w:pPr>
              <w:rPr>
                <w:rFonts w:cstheme="minorHAnsi"/>
                <w:b/>
              </w:rPr>
            </w:pPr>
            <w:r w:rsidRPr="00A17A10">
              <w:rPr>
                <w:rFonts w:cstheme="minorHAnsi"/>
                <w:b/>
              </w:rPr>
              <w:t>Swallow J</w:t>
            </w:r>
            <w:r w:rsidRPr="00A17A10">
              <w:rPr>
                <w:rFonts w:cstheme="minorHAnsi"/>
                <w:b/>
              </w:rPr>
              <w:t xml:space="preserve">unction </w:t>
            </w:r>
          </w:p>
          <w:p w:rsidR="00224A4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This junction is on the key route linking Preston and the M6 Junction 31with the Enterprise Zone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at Salmesbury.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Investigations have concluded that there is no requirement for a large scale intervention at this location for 10 years based on curren</w:t>
            </w:r>
            <w:r w:rsidRPr="000E4FE9">
              <w:rPr>
                <w:rFonts w:cstheme="minorHAnsi"/>
              </w:rPr>
              <w:t>t traffic flow forecasts. However, the investigations do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suggest that a MOVA validation process will ensure the signalised junction does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work efficiently.</w:t>
            </w:r>
          </w:p>
          <w:p w:rsidR="00224A49" w:rsidRPr="000E4FE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 xml:space="preserve">As a result of the </w:t>
            </w:r>
            <w:r>
              <w:rPr>
                <w:rFonts w:cstheme="minorHAnsi"/>
              </w:rPr>
              <w:t xml:space="preserve">above it is proposed </w:t>
            </w:r>
            <w:r w:rsidRPr="006C795E">
              <w:rPr>
                <w:rFonts w:cstheme="minorHAnsi"/>
              </w:rPr>
              <w:t xml:space="preserve">that </w:t>
            </w:r>
            <w:r w:rsidRPr="0061033D">
              <w:rPr>
                <w:rFonts w:cstheme="minorHAnsi"/>
              </w:rPr>
              <w:t>£0.100m</w:t>
            </w:r>
            <w:r w:rsidRPr="000E4FE9">
              <w:rPr>
                <w:rFonts w:cstheme="minorHAnsi"/>
              </w:rPr>
              <w:t xml:space="preserve"> is released from this project allocation.</w:t>
            </w:r>
          </w:p>
        </w:tc>
      </w:tr>
      <w:tr w:rsidR="002277CC" w:rsidTr="002532CC">
        <w:tc>
          <w:tcPr>
            <w:tcW w:w="1692" w:type="dxa"/>
            <w:vAlign w:val="center"/>
          </w:tcPr>
          <w:p w:rsidR="00224A49" w:rsidRPr="000E4FE9" w:rsidRDefault="00D90418" w:rsidP="00F73267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M65 J</w:t>
            </w:r>
            <w:r w:rsidRPr="000E4FE9">
              <w:rPr>
                <w:rFonts w:cstheme="minorHAnsi"/>
              </w:rPr>
              <w:t>13 Eastern Roundabout</w:t>
            </w:r>
          </w:p>
        </w:tc>
        <w:tc>
          <w:tcPr>
            <w:tcW w:w="867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£1.737</w:t>
            </w:r>
          </w:p>
        </w:tc>
        <w:tc>
          <w:tcPr>
            <w:tcW w:w="989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£0.100</w:t>
            </w:r>
          </w:p>
        </w:tc>
        <w:tc>
          <w:tcPr>
            <w:tcW w:w="1366" w:type="dxa"/>
            <w:vAlign w:val="center"/>
          </w:tcPr>
          <w:p w:rsidR="00224A49" w:rsidRPr="005D7298" w:rsidRDefault="00D90418" w:rsidP="00224A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£1.637</w:t>
            </w:r>
          </w:p>
        </w:tc>
        <w:tc>
          <w:tcPr>
            <w:tcW w:w="11247" w:type="dxa"/>
          </w:tcPr>
          <w:p w:rsidR="00224A49" w:rsidRPr="000E4FE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A review of traffic modelling shows that planned improvements at the eastern roundabout will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make traffic delays worse in the short term due to the extra stops caused by the traffic signals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and will only show a po</w:t>
            </w:r>
            <w:r w:rsidRPr="000E4FE9">
              <w:rPr>
                <w:rFonts w:cstheme="minorHAnsi"/>
              </w:rPr>
              <w:t xml:space="preserve">sitive journey time improvement by 2022. This </w:t>
            </w:r>
            <w:r>
              <w:rPr>
                <w:rFonts w:cstheme="minorHAnsi"/>
              </w:rPr>
              <w:t>m</w:t>
            </w:r>
            <w:r w:rsidRPr="000E4FE9">
              <w:rPr>
                <w:rFonts w:cstheme="minorHAnsi"/>
              </w:rPr>
              <w:t>odelling work has also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 xml:space="preserve">shown that the existing junction </w:t>
            </w:r>
            <w:r>
              <w:rPr>
                <w:rFonts w:cstheme="minorHAnsi"/>
              </w:rPr>
              <w:t>a</w:t>
            </w:r>
            <w:r w:rsidRPr="000E4FE9">
              <w:rPr>
                <w:rFonts w:cstheme="minorHAnsi"/>
              </w:rPr>
              <w:t>rrangement will only be at capacity in 2025.</w:t>
            </w:r>
          </w:p>
          <w:p w:rsidR="00224A49" w:rsidRPr="000E4FE9" w:rsidRDefault="00D90418" w:rsidP="00224A49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In the short term it is proposed to develop proposals to address local traffic congestion issue at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 xml:space="preserve">the college entrance. </w:t>
            </w:r>
          </w:p>
        </w:tc>
      </w:tr>
      <w:tr w:rsidR="002277CC" w:rsidTr="002532CC">
        <w:tc>
          <w:tcPr>
            <w:tcW w:w="1692" w:type="dxa"/>
          </w:tcPr>
          <w:p w:rsidR="00224A49" w:rsidRPr="000E4FE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Vivary Way/North Valley Road improvements Colne</w:t>
            </w:r>
          </w:p>
        </w:tc>
        <w:tc>
          <w:tcPr>
            <w:tcW w:w="867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£1.037</w:t>
            </w:r>
          </w:p>
        </w:tc>
        <w:tc>
          <w:tcPr>
            <w:tcW w:w="989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£1.037</w:t>
            </w:r>
          </w:p>
        </w:tc>
        <w:tc>
          <w:tcPr>
            <w:tcW w:w="1366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£0.000</w:t>
            </w:r>
          </w:p>
        </w:tc>
        <w:tc>
          <w:tcPr>
            <w:tcW w:w="11247" w:type="dxa"/>
          </w:tcPr>
          <w:p w:rsidR="00224A4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The A6068 through Colne forms part of an inter-regional route between the M65 and North and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 xml:space="preserve">West Yorkshire. In addition, it provides access to numerous retail </w:t>
            </w:r>
            <w:r w:rsidRPr="000E4FE9">
              <w:rPr>
                <w:rFonts w:cstheme="minorHAnsi"/>
              </w:rPr>
              <w:t>developments and the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combination of thro</w:t>
            </w:r>
            <w:r>
              <w:rPr>
                <w:rFonts w:cstheme="minorHAnsi"/>
              </w:rPr>
              <w:t>ugh and local traffic movements</w:t>
            </w:r>
            <w:r w:rsidRPr="000E4FE9">
              <w:rPr>
                <w:rFonts w:cstheme="minorHAnsi"/>
              </w:rPr>
              <w:t xml:space="preserve"> results in significant congestion during peak periods and increasingly at other times of the day and at weekends. The scheme comprises a</w:t>
            </w:r>
            <w:r>
              <w:rPr>
                <w:rFonts w:cstheme="minorHAnsi"/>
              </w:rPr>
              <w:t xml:space="preserve"> </w:t>
            </w:r>
            <w:r w:rsidRPr="000E4FE9">
              <w:rPr>
                <w:rFonts w:cstheme="minorHAnsi"/>
              </w:rPr>
              <w:t>package of junction and network management impr</w:t>
            </w:r>
            <w:r w:rsidRPr="000E4FE9">
              <w:rPr>
                <w:rFonts w:cstheme="minorHAnsi"/>
              </w:rPr>
              <w:t>ovements to improve traffic flow and reduce accident risks along the route. The approved allocation is required.</w:t>
            </w:r>
          </w:p>
          <w:p w:rsidR="00224A49" w:rsidRPr="000E4FE9" w:rsidRDefault="00D90418" w:rsidP="00F73267">
            <w:pPr>
              <w:rPr>
                <w:rFonts w:cstheme="minorHAnsi"/>
              </w:rPr>
            </w:pPr>
            <w:r>
              <w:rPr>
                <w:rFonts w:cstheme="minorHAnsi"/>
              </w:rPr>
              <w:t>NB The total allocation of £1.037m includes NFIP funding (£0.623m) and a contribution from the DfT Integrated Transport Grant (£0.414m)</w:t>
            </w:r>
          </w:p>
        </w:tc>
      </w:tr>
      <w:tr w:rsidR="002277CC" w:rsidTr="002532CC">
        <w:tc>
          <w:tcPr>
            <w:tcW w:w="1692" w:type="dxa"/>
          </w:tcPr>
          <w:p w:rsidR="00224A49" w:rsidRPr="000E4FE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Contingency</w:t>
            </w:r>
          </w:p>
        </w:tc>
        <w:tc>
          <w:tcPr>
            <w:tcW w:w="867" w:type="dxa"/>
            <w:vAlign w:val="center"/>
          </w:tcPr>
          <w:p w:rsidR="00224A49" w:rsidRDefault="00D90418" w:rsidP="00224A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£0.499</w:t>
            </w:r>
          </w:p>
        </w:tc>
        <w:tc>
          <w:tcPr>
            <w:tcW w:w="989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 w:rsidRPr="000E4FE9">
              <w:rPr>
                <w:rFonts w:cstheme="minorHAnsi"/>
              </w:rPr>
              <w:t>£0.000</w:t>
            </w:r>
          </w:p>
        </w:tc>
        <w:tc>
          <w:tcPr>
            <w:tcW w:w="1366" w:type="dxa"/>
            <w:vAlign w:val="center"/>
          </w:tcPr>
          <w:p w:rsidR="00224A49" w:rsidRPr="000E4FE9" w:rsidRDefault="00D90418" w:rsidP="00224A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£0.499</w:t>
            </w:r>
          </w:p>
        </w:tc>
        <w:tc>
          <w:tcPr>
            <w:tcW w:w="11247" w:type="dxa"/>
          </w:tcPr>
          <w:p w:rsidR="00224A49" w:rsidRPr="000E4FE9" w:rsidRDefault="00D90418" w:rsidP="00F73267">
            <w:pPr>
              <w:rPr>
                <w:rFonts w:cstheme="minorHAnsi"/>
              </w:rPr>
            </w:pPr>
            <w:r w:rsidRPr="000E4FE9">
              <w:rPr>
                <w:rFonts w:cstheme="minorHAnsi"/>
              </w:rPr>
              <w:t>Not Programmed</w:t>
            </w:r>
          </w:p>
        </w:tc>
      </w:tr>
      <w:tr w:rsidR="002277CC" w:rsidTr="002532CC">
        <w:tc>
          <w:tcPr>
            <w:tcW w:w="1692" w:type="dxa"/>
          </w:tcPr>
          <w:p w:rsidR="00224A49" w:rsidRPr="000E4FE9" w:rsidRDefault="00D90418" w:rsidP="00F73267">
            <w:pPr>
              <w:rPr>
                <w:rFonts w:cstheme="minorHAnsi"/>
                <w:b/>
              </w:rPr>
            </w:pPr>
            <w:r w:rsidRPr="000E4FE9">
              <w:rPr>
                <w:rFonts w:cstheme="minorHAnsi"/>
                <w:b/>
              </w:rPr>
              <w:t>Totals</w:t>
            </w:r>
          </w:p>
        </w:tc>
        <w:tc>
          <w:tcPr>
            <w:tcW w:w="867" w:type="dxa"/>
          </w:tcPr>
          <w:p w:rsidR="00224A49" w:rsidRDefault="00D90418" w:rsidP="00F732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5.568</w:t>
            </w:r>
          </w:p>
        </w:tc>
        <w:tc>
          <w:tcPr>
            <w:tcW w:w="989" w:type="dxa"/>
          </w:tcPr>
          <w:p w:rsidR="00224A49" w:rsidRPr="000E4FE9" w:rsidRDefault="00D90418" w:rsidP="00F73267">
            <w:pPr>
              <w:jc w:val="center"/>
              <w:rPr>
                <w:rFonts w:cstheme="minorHAnsi"/>
                <w:b/>
              </w:rPr>
            </w:pPr>
            <w:r w:rsidRPr="000E4FE9">
              <w:rPr>
                <w:rFonts w:cstheme="minorHAnsi"/>
                <w:b/>
              </w:rPr>
              <w:t>£3.113</w:t>
            </w:r>
          </w:p>
        </w:tc>
        <w:tc>
          <w:tcPr>
            <w:tcW w:w="1366" w:type="dxa"/>
          </w:tcPr>
          <w:p w:rsidR="00224A49" w:rsidRPr="000E4FE9" w:rsidRDefault="00D90418" w:rsidP="00F73267">
            <w:pPr>
              <w:jc w:val="center"/>
              <w:rPr>
                <w:rFonts w:cstheme="minorHAnsi"/>
                <w:b/>
              </w:rPr>
            </w:pPr>
            <w:r w:rsidRPr="00065A97">
              <w:rPr>
                <w:rFonts w:cstheme="minorHAnsi"/>
                <w:b/>
              </w:rPr>
              <w:t>£2.455</w:t>
            </w:r>
          </w:p>
        </w:tc>
        <w:tc>
          <w:tcPr>
            <w:tcW w:w="11247" w:type="dxa"/>
          </w:tcPr>
          <w:p w:rsidR="00224A49" w:rsidRPr="000E4FE9" w:rsidRDefault="00D90418" w:rsidP="00F73267">
            <w:pPr>
              <w:rPr>
                <w:rFonts w:cstheme="minorHAnsi"/>
                <w:b/>
              </w:rPr>
            </w:pPr>
          </w:p>
        </w:tc>
      </w:tr>
    </w:tbl>
    <w:p w:rsidR="000353D4" w:rsidRDefault="00D90418" w:rsidP="002532CC"/>
    <w:sectPr w:rsidR="000353D4" w:rsidSect="002532C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CC"/>
    <w:rsid w:val="002277CC"/>
    <w:rsid w:val="00D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B580"/>
  <w15:docId w15:val="{903AAC83-6BAB-42B9-9485-C27B626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CC"/>
  </w:style>
  <w:style w:type="paragraph" w:styleId="Footer">
    <w:name w:val="footer"/>
    <w:basedOn w:val="Normal"/>
    <w:link w:val="FooterChar"/>
    <w:uiPriority w:val="99"/>
    <w:unhideWhenUsed/>
    <w:rsid w:val="0025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Janet</dc:creator>
  <cp:lastModifiedBy>Gorman, Dave</cp:lastModifiedBy>
  <cp:revision>3</cp:revision>
  <dcterms:created xsi:type="dcterms:W3CDTF">2019-05-16T14:08:00Z</dcterms:created>
  <dcterms:modified xsi:type="dcterms:W3CDTF">2019-05-22T14:14:00Z</dcterms:modified>
</cp:coreProperties>
</file>